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D8D" w:rsidRDefault="003F15E8">
      <w:pPr>
        <w:numPr>
          <w:ilvl w:val="0"/>
          <w:numId w:val="17"/>
        </w:numPr>
        <w:rPr>
          <w:b/>
          <w:sz w:val="32"/>
        </w:rPr>
      </w:pPr>
      <w:r>
        <w:rPr>
          <w:b/>
          <w:sz w:val="32"/>
        </w:rPr>
        <w:t>La Guerre dans les Colonies et dans le Monde</w:t>
      </w:r>
    </w:p>
    <w:p w:rsidR="00157D8D" w:rsidRDefault="00157D8D"/>
    <w:p w:rsidR="00157D8D" w:rsidRDefault="003F15E8">
      <w:pPr>
        <w:ind w:firstLine="705"/>
        <w:jc w:val="both"/>
        <w:rPr>
          <w:sz w:val="24"/>
        </w:rPr>
      </w:pPr>
      <w:r>
        <w:rPr>
          <w:sz w:val="24"/>
        </w:rPr>
        <w:t>La guerre s’étend hors d’Europe aux autres pays, des colonies aux mers lointaines. Un certain nombre de zones hors la carte représentent une colonie, un territoire ou un pays.</w:t>
      </w: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3F15E8">
      <w:pPr>
        <w:ind w:firstLine="705"/>
        <w:jc w:val="both"/>
        <w:rPr>
          <w:sz w:val="24"/>
        </w:rPr>
      </w:pPr>
      <w:r>
        <w:rPr>
          <w:noProof/>
          <w:sz w:val="24"/>
        </w:rPr>
        <w:drawing>
          <wp:anchor distT="0" distB="0" distL="114300" distR="114300" simplePos="0" relativeHeight="251657216" behindDoc="0" locked="0" layoutInCell="0" allowOverlap="1">
            <wp:simplePos x="0" y="0"/>
            <wp:positionH relativeFrom="column">
              <wp:posOffset>14605</wp:posOffset>
            </wp:positionH>
            <wp:positionV relativeFrom="paragraph">
              <wp:posOffset>69850</wp:posOffset>
            </wp:positionV>
            <wp:extent cx="5760720" cy="3749040"/>
            <wp:effectExtent l="0" t="0" r="0" b="381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49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3F15E8">
      <w:pPr>
        <w:numPr>
          <w:ilvl w:val="1"/>
          <w:numId w:val="17"/>
        </w:numPr>
        <w:jc w:val="both"/>
        <w:rPr>
          <w:sz w:val="28"/>
        </w:rPr>
      </w:pPr>
      <w:r>
        <w:rPr>
          <w:sz w:val="28"/>
        </w:rPr>
        <w:t>Description des Zones Hors la Carte</w:t>
      </w:r>
    </w:p>
    <w:p w:rsidR="00157D8D" w:rsidRDefault="00157D8D">
      <w:pPr>
        <w:jc w:val="both"/>
        <w:rPr>
          <w:sz w:val="24"/>
        </w:rPr>
      </w:pPr>
    </w:p>
    <w:p w:rsidR="00157D8D" w:rsidRDefault="003F15E8">
      <w:pPr>
        <w:ind w:left="705"/>
        <w:jc w:val="both"/>
        <w:rPr>
          <w:sz w:val="24"/>
        </w:rPr>
      </w:pPr>
      <w:r>
        <w:rPr>
          <w:sz w:val="24"/>
        </w:rPr>
        <w:t>Les informations contenues pour chaque zone sont :</w:t>
      </w:r>
    </w:p>
    <w:p w:rsidR="00157D8D" w:rsidRDefault="00157D8D">
      <w:pPr>
        <w:ind w:left="705"/>
        <w:jc w:val="both"/>
        <w:rPr>
          <w:sz w:val="24"/>
        </w:rPr>
      </w:pPr>
    </w:p>
    <w:p w:rsidR="00157D8D" w:rsidRDefault="003F15E8">
      <w:pPr>
        <w:ind w:left="1410"/>
        <w:jc w:val="both"/>
        <w:rPr>
          <w:sz w:val="24"/>
        </w:rPr>
      </w:pPr>
      <w:r>
        <w:rPr>
          <w:sz w:val="24"/>
          <w:u w:val="single"/>
        </w:rPr>
        <w:t>Taille/Batailles :</w:t>
      </w:r>
      <w:r>
        <w:rPr>
          <w:sz w:val="24"/>
        </w:rPr>
        <w:t xml:space="preserve"> cette valeur représente le nombre de batailles qui doit être mené pour conquérir </w:t>
      </w:r>
      <w:r w:rsidR="00823E3B">
        <w:rPr>
          <w:sz w:val="24"/>
        </w:rPr>
        <w:t>cette</w:t>
      </w:r>
      <w:r>
        <w:rPr>
          <w:sz w:val="24"/>
        </w:rPr>
        <w:t xml:space="preserve"> zone.</w:t>
      </w:r>
    </w:p>
    <w:p w:rsidR="00157D8D" w:rsidRDefault="00157D8D">
      <w:pPr>
        <w:ind w:left="1410"/>
        <w:jc w:val="both"/>
        <w:rPr>
          <w:sz w:val="24"/>
          <w:u w:val="single"/>
        </w:rPr>
      </w:pPr>
    </w:p>
    <w:p w:rsidR="00157D8D" w:rsidRDefault="003F15E8">
      <w:pPr>
        <w:ind w:left="1410"/>
        <w:jc w:val="both"/>
        <w:rPr>
          <w:sz w:val="24"/>
        </w:rPr>
      </w:pPr>
      <w:r>
        <w:rPr>
          <w:sz w:val="24"/>
          <w:u w:val="single"/>
        </w:rPr>
        <w:t>Ressources :</w:t>
      </w:r>
      <w:r>
        <w:rPr>
          <w:sz w:val="24"/>
        </w:rPr>
        <w:t xml:space="preserve"> les unités sont ravitaillées dans toutes les zones hors la carte</w:t>
      </w:r>
    </w:p>
    <w:p w:rsidR="00157D8D" w:rsidRDefault="00157D8D">
      <w:pPr>
        <w:ind w:left="1410"/>
        <w:jc w:val="both"/>
        <w:rPr>
          <w:sz w:val="24"/>
        </w:rPr>
      </w:pPr>
    </w:p>
    <w:p w:rsidR="00157D8D" w:rsidRDefault="003F15E8">
      <w:pPr>
        <w:ind w:left="1410"/>
        <w:jc w:val="both"/>
        <w:rPr>
          <w:sz w:val="24"/>
        </w:rPr>
      </w:pPr>
      <w:r>
        <w:rPr>
          <w:sz w:val="24"/>
          <w:u w:val="single"/>
        </w:rPr>
        <w:t>Liens :</w:t>
      </w:r>
      <w:r>
        <w:rPr>
          <w:sz w:val="24"/>
        </w:rPr>
        <w:t xml:space="preserve"> ils relient une zone hors la carte à des régions proches ou à d’autres zones hors la carte.</w:t>
      </w:r>
    </w:p>
    <w:p w:rsidR="00157D8D" w:rsidRDefault="00157D8D">
      <w:pPr>
        <w:ind w:left="1410"/>
        <w:jc w:val="both"/>
        <w:rPr>
          <w:sz w:val="24"/>
          <w:u w:val="single"/>
        </w:rPr>
      </w:pPr>
    </w:p>
    <w:p w:rsidR="00157D8D" w:rsidRDefault="003F15E8">
      <w:pPr>
        <w:ind w:left="1410"/>
        <w:jc w:val="both"/>
        <w:rPr>
          <w:sz w:val="24"/>
        </w:rPr>
      </w:pPr>
      <w:r>
        <w:rPr>
          <w:sz w:val="24"/>
          <w:u w:val="single"/>
        </w:rPr>
        <w:t>Flèches :</w:t>
      </w:r>
      <w:r>
        <w:rPr>
          <w:sz w:val="24"/>
        </w:rPr>
        <w:t xml:space="preserve"> elles représentent un mouvement terrestre (routes, voies ferrées). Quand une unité pénètre dans la zone, elle s’arrête là peu importe le nombre de MP qui lui reste </w:t>
      </w:r>
      <w:r w:rsidR="00823E3B">
        <w:rPr>
          <w:sz w:val="24"/>
        </w:rPr>
        <w:t>(à</w:t>
      </w:r>
      <w:r>
        <w:rPr>
          <w:sz w:val="24"/>
        </w:rPr>
        <w:t xml:space="preserve"> moins qu’elle n’utilise le chemin de fer). Pour quitter la zone, elle utilise un point de MP.</w:t>
      </w:r>
    </w:p>
    <w:p w:rsidR="00157D8D" w:rsidRDefault="00157D8D">
      <w:pPr>
        <w:ind w:left="1410"/>
        <w:jc w:val="both"/>
        <w:rPr>
          <w:sz w:val="24"/>
          <w:u w:val="single"/>
        </w:rPr>
      </w:pPr>
    </w:p>
    <w:p w:rsidR="00157D8D" w:rsidRDefault="003F15E8">
      <w:pPr>
        <w:ind w:left="1410"/>
        <w:jc w:val="both"/>
        <w:rPr>
          <w:sz w:val="24"/>
        </w:rPr>
      </w:pPr>
      <w:r>
        <w:rPr>
          <w:sz w:val="24"/>
          <w:u w:val="single"/>
        </w:rPr>
        <w:t>Liens par le réseau ferré :</w:t>
      </w:r>
      <w:r>
        <w:rPr>
          <w:sz w:val="24"/>
        </w:rPr>
        <w:t xml:space="preserve"> une ligne représentant une ligne de chemin de fer indique que la zone est reliée par le chemin de fer. </w:t>
      </w:r>
      <w:r w:rsidR="00823E3B">
        <w:rPr>
          <w:sz w:val="24"/>
        </w:rPr>
        <w:t>Une</w:t>
      </w:r>
      <w:r>
        <w:rPr>
          <w:sz w:val="24"/>
        </w:rPr>
        <w:t xml:space="preserve"> région hors la carte équivaut à 20 régions pour un déplacement par chemin de fer.</w:t>
      </w:r>
    </w:p>
    <w:p w:rsidR="00157D8D" w:rsidRDefault="00157D8D">
      <w:pPr>
        <w:ind w:left="1410"/>
        <w:jc w:val="both"/>
        <w:rPr>
          <w:sz w:val="24"/>
        </w:rPr>
      </w:pPr>
    </w:p>
    <w:p w:rsidR="00157D8D" w:rsidRDefault="003F15E8">
      <w:pPr>
        <w:ind w:left="1410"/>
        <w:jc w:val="both"/>
        <w:rPr>
          <w:sz w:val="24"/>
        </w:rPr>
      </w:pPr>
      <w:r>
        <w:rPr>
          <w:noProof/>
          <w:sz w:val="24"/>
        </w:rPr>
        <w:lastRenderedPageBreak/>
        <w:drawing>
          <wp:anchor distT="0" distB="0" distL="114300" distR="114300" simplePos="0" relativeHeight="251658240" behindDoc="0" locked="0" layoutInCell="0" allowOverlap="1">
            <wp:simplePos x="0" y="0"/>
            <wp:positionH relativeFrom="column">
              <wp:posOffset>563245</wp:posOffset>
            </wp:positionH>
            <wp:positionV relativeFrom="paragraph">
              <wp:posOffset>-625475</wp:posOffset>
            </wp:positionV>
            <wp:extent cx="4846320" cy="3462655"/>
            <wp:effectExtent l="0" t="0" r="0" b="4445"/>
            <wp:wrapTopAndBottom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46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7D8D" w:rsidRDefault="003F15E8">
      <w:pPr>
        <w:pStyle w:val="Retraitcorpsdetexte3"/>
      </w:pPr>
      <w:r>
        <w:t xml:space="preserve">Plusieurs zones sont proches de l’Europe, elles sont reliées à la carte principale à partir de régions d’entrée. </w:t>
      </w:r>
      <w:r w:rsidR="00823E3B">
        <w:t>Ces</w:t>
      </w:r>
      <w:r>
        <w:t xml:space="preserve"> régions mentionnent le nom de la zone hors la carte reliée.</w:t>
      </w:r>
    </w:p>
    <w:p w:rsidR="00157D8D" w:rsidRDefault="00157D8D">
      <w:pPr>
        <w:ind w:left="1410"/>
        <w:jc w:val="both"/>
        <w:rPr>
          <w:sz w:val="24"/>
        </w:rPr>
      </w:pPr>
    </w:p>
    <w:p w:rsidR="00157D8D" w:rsidRDefault="00157D8D">
      <w:pPr>
        <w:ind w:left="1410"/>
        <w:jc w:val="both"/>
        <w:rPr>
          <w:sz w:val="24"/>
        </w:rPr>
      </w:pPr>
    </w:p>
    <w:p w:rsidR="00157D8D" w:rsidRDefault="003F15E8">
      <w:pPr>
        <w:numPr>
          <w:ilvl w:val="1"/>
          <w:numId w:val="17"/>
        </w:numPr>
        <w:jc w:val="both"/>
        <w:rPr>
          <w:sz w:val="28"/>
        </w:rPr>
      </w:pPr>
      <w:r>
        <w:rPr>
          <w:sz w:val="28"/>
        </w:rPr>
        <w:t>Spécificités de la Guerre Coloniale</w:t>
      </w:r>
    </w:p>
    <w:p w:rsidR="00157D8D" w:rsidRDefault="00157D8D">
      <w:pPr>
        <w:jc w:val="both"/>
        <w:rPr>
          <w:sz w:val="24"/>
        </w:rPr>
      </w:pPr>
    </w:p>
    <w:p w:rsidR="00157D8D" w:rsidRDefault="003F15E8">
      <w:pPr>
        <w:ind w:firstLine="705"/>
        <w:jc w:val="both"/>
        <w:rPr>
          <w:sz w:val="24"/>
        </w:rPr>
      </w:pPr>
      <w:r>
        <w:rPr>
          <w:sz w:val="24"/>
        </w:rPr>
        <w:t>Quand une zone hors la carte est attaquée, une bataille se déroule dans la zone. Chaque zone a une valeur de conquête, c’est le nombre de batailles nécessaire qui doit être mené et gagné pour conquérir la zone.</w:t>
      </w: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157D8D">
      <w:pPr>
        <w:ind w:firstLine="705"/>
        <w:jc w:val="both"/>
        <w:rPr>
          <w:sz w:val="24"/>
        </w:rPr>
      </w:pPr>
    </w:p>
    <w:p w:rsidR="00157D8D" w:rsidRDefault="003F15E8">
      <w:pPr>
        <w:numPr>
          <w:ilvl w:val="2"/>
          <w:numId w:val="17"/>
        </w:numPr>
        <w:jc w:val="both"/>
        <w:rPr>
          <w:b/>
          <w:sz w:val="24"/>
        </w:rPr>
      </w:pPr>
      <w:r>
        <w:rPr>
          <w:b/>
          <w:sz w:val="24"/>
        </w:rPr>
        <w:t>Conquête Partielle</w:t>
      </w:r>
    </w:p>
    <w:p w:rsidR="00157D8D" w:rsidRDefault="00157D8D">
      <w:pPr>
        <w:jc w:val="both"/>
        <w:rPr>
          <w:sz w:val="24"/>
        </w:rPr>
      </w:pPr>
    </w:p>
    <w:p w:rsidR="00157D8D" w:rsidRDefault="003F15E8">
      <w:pPr>
        <w:ind w:firstLine="708"/>
        <w:jc w:val="both"/>
        <w:rPr>
          <w:sz w:val="24"/>
        </w:rPr>
      </w:pPr>
      <w:r>
        <w:rPr>
          <w:sz w:val="24"/>
        </w:rPr>
        <w:t xml:space="preserve">Chaque victoire rapporte 1 point. Pour conquérir une zone, l’attaquant doit y rester et continuer à y combattre. </w:t>
      </w:r>
      <w:r w:rsidR="00823E3B">
        <w:rPr>
          <w:sz w:val="24"/>
        </w:rPr>
        <w:t>À</w:t>
      </w:r>
      <w:r>
        <w:rPr>
          <w:sz w:val="24"/>
        </w:rPr>
        <w:t xml:space="preserve"> la fin d’un tour, une zone peut contenir des unités des deux camps.</w:t>
      </w:r>
    </w:p>
    <w:p w:rsidR="00157D8D" w:rsidRDefault="00157D8D">
      <w:pPr>
        <w:ind w:firstLine="708"/>
        <w:jc w:val="both"/>
        <w:rPr>
          <w:sz w:val="24"/>
        </w:rPr>
      </w:pPr>
    </w:p>
    <w:p w:rsidR="00157D8D" w:rsidRDefault="003F15E8">
      <w:pPr>
        <w:ind w:firstLine="708"/>
        <w:jc w:val="both"/>
        <w:rPr>
          <w:sz w:val="24"/>
        </w:rPr>
      </w:pPr>
      <w:r>
        <w:rPr>
          <w:sz w:val="24"/>
        </w:rPr>
        <w:t>Si la zone ne contient pas d’unité, l’attaquant récupère un point de victoire en un seul tour (avance rapide dans la zone) par unité.</w:t>
      </w:r>
    </w:p>
    <w:p w:rsidR="00157D8D" w:rsidRDefault="00157D8D">
      <w:pPr>
        <w:ind w:firstLine="708"/>
        <w:jc w:val="both"/>
        <w:rPr>
          <w:sz w:val="24"/>
        </w:rPr>
      </w:pPr>
    </w:p>
    <w:p w:rsidR="00157D8D" w:rsidRDefault="003F15E8">
      <w:pPr>
        <w:ind w:left="708"/>
        <w:jc w:val="both"/>
        <w:rPr>
          <w:sz w:val="24"/>
        </w:rPr>
      </w:pPr>
      <w:r>
        <w:rPr>
          <w:sz w:val="24"/>
          <w:u w:val="single"/>
        </w:rPr>
        <w:t>Exemple :</w:t>
      </w:r>
      <w:r>
        <w:rPr>
          <w:sz w:val="24"/>
        </w:rPr>
        <w:t xml:space="preserve"> l’Allemagne envahit les colonies du RU en Afrique. L’Allemagne a 2 unités positionnées en Afrique, le RU aucune unité en défense. Le joueur allemand ne peut conquérir une région entière mais il récupère 2 points de victoire. La valeur de conquête est de 9, il lui reste à acquérir 7 points. Ce qui va prendre théoriquement 4 tours si l’Allemagne ne reçoit pas de renfort et si le RU n’a toujours aucune unité en défense.</w:t>
      </w:r>
    </w:p>
    <w:p w:rsidR="00157D8D" w:rsidRDefault="00157D8D">
      <w:pPr>
        <w:ind w:left="1410"/>
        <w:jc w:val="both"/>
        <w:rPr>
          <w:sz w:val="24"/>
        </w:rPr>
      </w:pPr>
    </w:p>
    <w:p w:rsidR="00157D8D" w:rsidRDefault="00157D8D">
      <w:pPr>
        <w:ind w:left="1410"/>
        <w:jc w:val="both"/>
        <w:rPr>
          <w:sz w:val="24"/>
        </w:rPr>
      </w:pPr>
    </w:p>
    <w:p w:rsidR="00823E3B" w:rsidRDefault="00823E3B">
      <w:pPr>
        <w:ind w:left="1410"/>
        <w:jc w:val="both"/>
        <w:rPr>
          <w:sz w:val="24"/>
        </w:rPr>
      </w:pPr>
    </w:p>
    <w:p w:rsidR="00823E3B" w:rsidRDefault="00823E3B">
      <w:pPr>
        <w:ind w:left="1410"/>
        <w:jc w:val="both"/>
        <w:rPr>
          <w:sz w:val="24"/>
        </w:rPr>
      </w:pPr>
    </w:p>
    <w:p w:rsidR="00823E3B" w:rsidRDefault="00823E3B">
      <w:pPr>
        <w:ind w:left="1410"/>
        <w:jc w:val="both"/>
        <w:rPr>
          <w:sz w:val="24"/>
        </w:rPr>
      </w:pPr>
    </w:p>
    <w:p w:rsidR="00823E3B" w:rsidRDefault="00823E3B">
      <w:pPr>
        <w:ind w:left="1410"/>
        <w:jc w:val="both"/>
        <w:rPr>
          <w:sz w:val="24"/>
        </w:rPr>
      </w:pPr>
    </w:p>
    <w:p w:rsidR="00823E3B" w:rsidRDefault="00823E3B">
      <w:pPr>
        <w:ind w:left="1410"/>
        <w:jc w:val="both"/>
        <w:rPr>
          <w:sz w:val="24"/>
        </w:rPr>
      </w:pPr>
    </w:p>
    <w:p w:rsidR="00823E3B" w:rsidRDefault="00823E3B">
      <w:pPr>
        <w:ind w:left="1410"/>
        <w:jc w:val="both"/>
        <w:rPr>
          <w:sz w:val="24"/>
        </w:rPr>
      </w:pPr>
    </w:p>
    <w:p w:rsidR="00157D8D" w:rsidRDefault="003F15E8">
      <w:pPr>
        <w:numPr>
          <w:ilvl w:val="2"/>
          <w:numId w:val="17"/>
        </w:numPr>
        <w:jc w:val="both"/>
        <w:rPr>
          <w:b/>
          <w:sz w:val="24"/>
        </w:rPr>
      </w:pPr>
      <w:r>
        <w:rPr>
          <w:b/>
          <w:sz w:val="24"/>
        </w:rPr>
        <w:lastRenderedPageBreak/>
        <w:t>Conquête Totale</w:t>
      </w:r>
    </w:p>
    <w:p w:rsidR="00157D8D" w:rsidRDefault="00157D8D">
      <w:pPr>
        <w:jc w:val="both"/>
        <w:rPr>
          <w:sz w:val="24"/>
        </w:rPr>
      </w:pPr>
    </w:p>
    <w:p w:rsidR="00157D8D" w:rsidRDefault="003F15E8">
      <w:pPr>
        <w:ind w:firstLine="708"/>
        <w:jc w:val="both"/>
        <w:rPr>
          <w:sz w:val="24"/>
        </w:rPr>
      </w:pPr>
      <w:r>
        <w:rPr>
          <w:sz w:val="24"/>
        </w:rPr>
        <w:t>Quand la dernière unité en défense a été vaincue ou si la valeur de conquête a été atteinte, la zone est considérée comme totalement conquise.</w:t>
      </w:r>
    </w:p>
    <w:p w:rsidR="00157D8D" w:rsidRDefault="00157D8D">
      <w:pPr>
        <w:ind w:firstLine="708"/>
        <w:jc w:val="both"/>
        <w:rPr>
          <w:sz w:val="24"/>
        </w:rPr>
      </w:pPr>
    </w:p>
    <w:p w:rsidR="00157D8D" w:rsidRDefault="003F15E8">
      <w:pPr>
        <w:numPr>
          <w:ilvl w:val="0"/>
          <w:numId w:val="18"/>
        </w:numPr>
        <w:tabs>
          <w:tab w:val="clear" w:pos="360"/>
          <w:tab w:val="num" w:pos="1068"/>
        </w:tabs>
        <w:ind w:left="1068"/>
        <w:jc w:val="both"/>
        <w:rPr>
          <w:sz w:val="24"/>
        </w:rPr>
      </w:pPr>
      <w:r>
        <w:rPr>
          <w:sz w:val="24"/>
        </w:rPr>
        <w:t>Quand la zone est conquise, il n’est pas nécessaire d’y laisser des unités en garnison. L’occupant reçoit la moitié des EP produits (arrondie par excès).</w:t>
      </w:r>
    </w:p>
    <w:p w:rsidR="00157D8D" w:rsidRDefault="003F15E8">
      <w:pPr>
        <w:numPr>
          <w:ilvl w:val="0"/>
          <w:numId w:val="18"/>
        </w:numPr>
        <w:tabs>
          <w:tab w:val="clear" w:pos="360"/>
          <w:tab w:val="num" w:pos="1068"/>
        </w:tabs>
        <w:ind w:left="1068"/>
        <w:jc w:val="both"/>
        <w:rPr>
          <w:sz w:val="24"/>
        </w:rPr>
      </w:pPr>
      <w:r>
        <w:rPr>
          <w:sz w:val="24"/>
        </w:rPr>
        <w:t>Rappel : si l’Allemagne conquiert une zone en Afrique, elle reçoit la moitié des EP que si un blocus n’est pas en place.</w:t>
      </w:r>
    </w:p>
    <w:p w:rsidR="00157D8D" w:rsidRDefault="003F15E8">
      <w:pPr>
        <w:numPr>
          <w:ilvl w:val="0"/>
          <w:numId w:val="18"/>
        </w:numPr>
        <w:tabs>
          <w:tab w:val="clear" w:pos="360"/>
          <w:tab w:val="num" w:pos="1068"/>
        </w:tabs>
        <w:ind w:left="1068"/>
        <w:jc w:val="both"/>
        <w:rPr>
          <w:sz w:val="24"/>
        </w:rPr>
      </w:pPr>
      <w:r>
        <w:rPr>
          <w:sz w:val="24"/>
        </w:rPr>
        <w:t>L’occupant gagne 1 point de VN par zone totalement conquise en Asie ou Afrique (le gain se fait à la fin du tour). Le défenseur ne perd pas de VN.</w:t>
      </w:r>
    </w:p>
    <w:p w:rsidR="00157D8D" w:rsidRDefault="00157D8D">
      <w:pPr>
        <w:ind w:left="1410"/>
        <w:jc w:val="both"/>
        <w:rPr>
          <w:sz w:val="24"/>
        </w:rPr>
      </w:pPr>
      <w:bookmarkStart w:id="0" w:name="_GoBack"/>
      <w:bookmarkEnd w:id="0"/>
    </w:p>
    <w:sectPr w:rsidR="00157D8D">
      <w:pgSz w:w="11906" w:h="16838"/>
      <w:pgMar w:top="1417" w:right="1417" w:bottom="1417" w:left="1417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10763"/>
    <w:multiLevelType w:val="multilevel"/>
    <w:tmpl w:val="FC061F7A"/>
    <w:lvl w:ilvl="0">
      <w:start w:val="2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>
    <w:nsid w:val="08E6003F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124F0ADC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16FC0079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1D3710D6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20050A5C"/>
    <w:multiLevelType w:val="multilevel"/>
    <w:tmpl w:val="682C01E2"/>
    <w:lvl w:ilvl="0">
      <w:start w:val="23"/>
      <w:numFmt w:val="decimal"/>
      <w:pStyle w:val="Titre1"/>
      <w:lvlText w:val="%1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88"/>
        </w:tabs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88"/>
        </w:tabs>
        <w:ind w:left="178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8"/>
        </w:tabs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8"/>
        </w:tabs>
        <w:ind w:left="214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8"/>
        </w:tabs>
        <w:ind w:left="2508" w:hanging="1800"/>
      </w:pPr>
      <w:rPr>
        <w:rFonts w:hint="default"/>
      </w:rPr>
    </w:lvl>
  </w:abstractNum>
  <w:abstractNum w:abstractNumId="6">
    <w:nsid w:val="25782917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331C6AE4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460E4BC3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4AD93978"/>
    <w:multiLevelType w:val="singleLevel"/>
    <w:tmpl w:val="5DC4909E"/>
    <w:lvl w:ilvl="0">
      <w:numFmt w:val="bullet"/>
      <w:lvlText w:val="-"/>
      <w:lvlJc w:val="left"/>
      <w:pPr>
        <w:tabs>
          <w:tab w:val="num" w:pos="1771"/>
        </w:tabs>
        <w:ind w:left="1771" w:hanging="360"/>
      </w:pPr>
      <w:rPr>
        <w:rFonts w:hint="default"/>
      </w:rPr>
    </w:lvl>
  </w:abstractNum>
  <w:abstractNum w:abstractNumId="10">
    <w:nsid w:val="4C3F4C6C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4DA27C29"/>
    <w:multiLevelType w:val="singleLevel"/>
    <w:tmpl w:val="F92C9D3E"/>
    <w:lvl w:ilvl="0">
      <w:start w:val="1"/>
      <w:numFmt w:val="decimal"/>
      <w:lvlText w:val="%1.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12">
    <w:nsid w:val="54C556F2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>
    <w:nsid w:val="602F425A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>
    <w:nsid w:val="67B14294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>
    <w:nsid w:val="6C106CE0"/>
    <w:multiLevelType w:val="singleLevel"/>
    <w:tmpl w:val="5DC4909E"/>
    <w:lvl w:ilvl="0">
      <w:numFmt w:val="bullet"/>
      <w:lvlText w:val="-"/>
      <w:lvlJc w:val="left"/>
      <w:pPr>
        <w:tabs>
          <w:tab w:val="num" w:pos="1771"/>
        </w:tabs>
        <w:ind w:left="1771" w:hanging="360"/>
      </w:pPr>
      <w:rPr>
        <w:rFonts w:hint="default"/>
      </w:rPr>
    </w:lvl>
  </w:abstractNum>
  <w:abstractNum w:abstractNumId="16">
    <w:nsid w:val="756D1F71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7681746C"/>
    <w:multiLevelType w:val="multilevel"/>
    <w:tmpl w:val="D166D544"/>
    <w:lvl w:ilvl="0">
      <w:start w:val="24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1"/>
  </w:num>
  <w:num w:numId="3">
    <w:abstractNumId w:val="14"/>
  </w:num>
  <w:num w:numId="4">
    <w:abstractNumId w:val="16"/>
  </w:num>
  <w:num w:numId="5">
    <w:abstractNumId w:val="15"/>
  </w:num>
  <w:num w:numId="6">
    <w:abstractNumId w:val="3"/>
  </w:num>
  <w:num w:numId="7">
    <w:abstractNumId w:val="9"/>
  </w:num>
  <w:num w:numId="8">
    <w:abstractNumId w:val="13"/>
  </w:num>
  <w:num w:numId="9">
    <w:abstractNumId w:val="7"/>
  </w:num>
  <w:num w:numId="10">
    <w:abstractNumId w:val="5"/>
  </w:num>
  <w:num w:numId="11">
    <w:abstractNumId w:val="12"/>
  </w:num>
  <w:num w:numId="12">
    <w:abstractNumId w:val="8"/>
  </w:num>
  <w:num w:numId="13">
    <w:abstractNumId w:val="10"/>
  </w:num>
  <w:num w:numId="14">
    <w:abstractNumId w:val="4"/>
  </w:num>
  <w:num w:numId="15">
    <w:abstractNumId w:val="2"/>
  </w:num>
  <w:num w:numId="16">
    <w:abstractNumId w:val="1"/>
  </w:num>
  <w:num w:numId="17">
    <w:abstractNumId w:val="17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15E8"/>
    <w:rsid w:val="00157D8D"/>
    <w:rsid w:val="003F15E8"/>
    <w:rsid w:val="00823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numPr>
        <w:numId w:val="10"/>
      </w:numPr>
      <w:tabs>
        <w:tab w:val="clear" w:pos="1413"/>
        <w:tab w:val="num" w:pos="-2127"/>
      </w:tabs>
      <w:ind w:left="0" w:firstLine="0"/>
      <w:jc w:val="both"/>
      <w:outlineLvl w:val="0"/>
    </w:pPr>
    <w:rPr>
      <w:b/>
      <w:sz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Retraitcorpsdetexte">
    <w:name w:val="Body Text Indent"/>
    <w:basedOn w:val="Normal"/>
    <w:semiHidden/>
    <w:pPr>
      <w:ind w:firstLine="708"/>
    </w:pPr>
    <w:rPr>
      <w:sz w:val="24"/>
    </w:rPr>
  </w:style>
  <w:style w:type="paragraph" w:styleId="Retraitcorpsdetexte2">
    <w:name w:val="Body Text Indent 2"/>
    <w:basedOn w:val="Normal"/>
    <w:semiHidden/>
    <w:pPr>
      <w:ind w:firstLine="708"/>
      <w:jc w:val="both"/>
    </w:pPr>
    <w:rPr>
      <w:sz w:val="24"/>
    </w:rPr>
  </w:style>
  <w:style w:type="paragraph" w:styleId="Retraitcorpsdetexte3">
    <w:name w:val="Body Text Indent 3"/>
    <w:basedOn w:val="Normal"/>
    <w:semiHidden/>
    <w:pPr>
      <w:ind w:left="705"/>
      <w:jc w:val="both"/>
    </w:pPr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numPr>
        <w:numId w:val="10"/>
      </w:numPr>
      <w:tabs>
        <w:tab w:val="clear" w:pos="1413"/>
        <w:tab w:val="num" w:pos="-2127"/>
      </w:tabs>
      <w:ind w:left="0" w:firstLine="0"/>
      <w:jc w:val="both"/>
      <w:outlineLvl w:val="0"/>
    </w:pPr>
    <w:rPr>
      <w:b/>
      <w:sz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Retraitcorpsdetexte">
    <w:name w:val="Body Text Indent"/>
    <w:basedOn w:val="Normal"/>
    <w:semiHidden/>
    <w:pPr>
      <w:ind w:firstLine="708"/>
    </w:pPr>
    <w:rPr>
      <w:sz w:val="24"/>
    </w:rPr>
  </w:style>
  <w:style w:type="paragraph" w:styleId="Retraitcorpsdetexte2">
    <w:name w:val="Body Text Indent 2"/>
    <w:basedOn w:val="Normal"/>
    <w:semiHidden/>
    <w:pPr>
      <w:ind w:firstLine="708"/>
      <w:jc w:val="both"/>
    </w:pPr>
    <w:rPr>
      <w:sz w:val="24"/>
    </w:rPr>
  </w:style>
  <w:style w:type="paragraph" w:styleId="Retraitcorpsdetexte3">
    <w:name w:val="Body Text Indent 3"/>
    <w:basedOn w:val="Normal"/>
    <w:semiHidden/>
    <w:pPr>
      <w:ind w:left="705"/>
      <w:jc w:val="both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448</Words>
  <Characters>2465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22</vt:lpstr>
    </vt:vector>
  </TitlesOfParts>
  <Company>Haute Corse</Company>
  <LinksUpToDate>false</LinksUpToDate>
  <CharactersWithSpaces>2908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22</dc:title>
  <dc:creator>DGFiP</dc:creator>
  <cp:lastModifiedBy>antoine calisti</cp:lastModifiedBy>
  <cp:revision>3</cp:revision>
  <dcterms:created xsi:type="dcterms:W3CDTF">2012-12-01T07:47:00Z</dcterms:created>
  <dcterms:modified xsi:type="dcterms:W3CDTF">2012-12-01T07:49:00Z</dcterms:modified>
</cp:coreProperties>
</file>